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8E1" w:rsidRPr="00697AA1" w:rsidRDefault="00771068" w:rsidP="006538E1">
      <w:pPr>
        <w:spacing w:after="0" w:line="240" w:lineRule="auto"/>
        <w:jc w:val="center"/>
        <w:rPr>
          <w:rFonts w:ascii="Times New Roman" w:hAnsi="Times New Roman"/>
          <w:b/>
          <w:sz w:val="56"/>
          <w:szCs w:val="56"/>
          <w:u w:val="single"/>
        </w:rPr>
      </w:pPr>
      <w:r>
        <w:rPr>
          <w:rFonts w:ascii="Times New Roman" w:hAnsi="Times New Roman"/>
          <w:b/>
          <w:sz w:val="56"/>
          <w:szCs w:val="56"/>
          <w:u w:val="single"/>
        </w:rPr>
        <w:t>Life Transitions 20</w:t>
      </w:r>
    </w:p>
    <w:p w:rsidR="00CC7BE6" w:rsidRPr="00697AA1" w:rsidRDefault="00CC7BE6" w:rsidP="006538E1">
      <w:pPr>
        <w:spacing w:after="120" w:line="240" w:lineRule="auto"/>
        <w:jc w:val="center"/>
        <w:rPr>
          <w:rFonts w:ascii="Times New Roman" w:hAnsi="Times New Roman"/>
          <w:b/>
          <w:sz w:val="56"/>
          <w:szCs w:val="56"/>
          <w:u w:val="single"/>
        </w:rPr>
      </w:pPr>
      <w:r w:rsidRPr="00697AA1">
        <w:rPr>
          <w:rFonts w:ascii="Times New Roman" w:hAnsi="Times New Roman"/>
          <w:b/>
          <w:sz w:val="56"/>
          <w:szCs w:val="56"/>
          <w:u w:val="single"/>
        </w:rPr>
        <w:t>Course Outline</w:t>
      </w:r>
    </w:p>
    <w:p w:rsidR="007250B0" w:rsidRPr="00A41469" w:rsidRDefault="007250B0" w:rsidP="007250B0">
      <w:pPr>
        <w:spacing w:before="360"/>
        <w:jc w:val="center"/>
        <w:rPr>
          <w:rFonts w:asciiTheme="minorHAnsi" w:hAnsiTheme="minorHAnsi"/>
          <w:b/>
          <w:sz w:val="36"/>
          <w:szCs w:val="36"/>
        </w:rPr>
        <w:sectPr w:rsidR="007250B0" w:rsidRPr="00A41469" w:rsidSect="00353326">
          <w:pgSz w:w="12240" w:h="15840"/>
          <w:pgMar w:top="567" w:right="1440" w:bottom="426" w:left="1440" w:header="708" w:footer="708" w:gutter="0"/>
          <w:cols w:space="708"/>
          <w:docGrid w:linePitch="360"/>
        </w:sectPr>
      </w:pPr>
    </w:p>
    <w:p w:rsidR="007250B0" w:rsidRPr="00A41469" w:rsidRDefault="007250B0" w:rsidP="00CB0638">
      <w:pPr>
        <w:spacing w:before="360" w:after="0" w:line="240" w:lineRule="auto"/>
        <w:jc w:val="center"/>
        <w:rPr>
          <w:rFonts w:asciiTheme="minorHAnsi" w:hAnsiTheme="minorHAnsi"/>
          <w:b/>
          <w:sz w:val="24"/>
          <w:szCs w:val="24"/>
        </w:rPr>
      </w:pPr>
      <w:r w:rsidRPr="00A41469">
        <w:rPr>
          <w:rFonts w:asciiTheme="minorHAnsi" w:hAnsiTheme="minorHAnsi"/>
          <w:b/>
          <w:sz w:val="24"/>
          <w:szCs w:val="24"/>
        </w:rPr>
        <w:t xml:space="preserve"> Instructor:</w:t>
      </w:r>
      <w:r w:rsidR="00875F47" w:rsidRPr="00A41469">
        <w:rPr>
          <w:rFonts w:asciiTheme="minorHAnsi" w:hAnsiTheme="minorHAnsi"/>
          <w:b/>
          <w:sz w:val="24"/>
          <w:szCs w:val="24"/>
        </w:rPr>
        <w:t xml:space="preserve"> </w:t>
      </w:r>
      <w:r w:rsidRPr="00A41469">
        <w:rPr>
          <w:rFonts w:asciiTheme="minorHAnsi" w:hAnsiTheme="minorHAnsi"/>
          <w:b/>
          <w:sz w:val="24"/>
          <w:szCs w:val="24"/>
        </w:rPr>
        <w:t>Miss Jennifer Foley</w:t>
      </w:r>
    </w:p>
    <w:p w:rsidR="007250B0" w:rsidRPr="00A41469" w:rsidRDefault="007250B0" w:rsidP="00A41469">
      <w:pPr>
        <w:spacing w:after="0"/>
        <w:jc w:val="center"/>
        <w:rPr>
          <w:rFonts w:asciiTheme="minorHAnsi" w:hAnsiTheme="minorHAnsi"/>
          <w:sz w:val="24"/>
          <w:szCs w:val="24"/>
        </w:rPr>
      </w:pPr>
      <w:r w:rsidRPr="00A41469">
        <w:rPr>
          <w:rFonts w:asciiTheme="minorHAnsi" w:hAnsiTheme="minorHAnsi"/>
          <w:sz w:val="24"/>
          <w:szCs w:val="24"/>
        </w:rPr>
        <w:t>Phone: 297-2733 Ext. 241</w:t>
      </w:r>
      <w:r w:rsidR="00F27222" w:rsidRPr="00A41469">
        <w:rPr>
          <w:rFonts w:asciiTheme="minorHAnsi" w:hAnsiTheme="minorHAnsi"/>
          <w:sz w:val="24"/>
          <w:szCs w:val="24"/>
        </w:rPr>
        <w:t xml:space="preserve">                                  </w:t>
      </w:r>
      <w:r w:rsidR="00A41469">
        <w:rPr>
          <w:rFonts w:asciiTheme="minorHAnsi" w:hAnsiTheme="minorHAnsi"/>
          <w:sz w:val="24"/>
          <w:szCs w:val="24"/>
        </w:rPr>
        <w:t xml:space="preserve">     </w:t>
      </w:r>
      <w:r w:rsidR="00F27222" w:rsidRPr="00A41469">
        <w:rPr>
          <w:rFonts w:asciiTheme="minorHAnsi" w:hAnsiTheme="minorHAnsi"/>
          <w:sz w:val="24"/>
          <w:szCs w:val="24"/>
        </w:rPr>
        <w:t xml:space="preserve">   </w:t>
      </w:r>
      <w:r w:rsidRPr="00A41469">
        <w:rPr>
          <w:rFonts w:asciiTheme="minorHAnsi" w:hAnsiTheme="minorHAnsi"/>
          <w:sz w:val="24"/>
          <w:szCs w:val="24"/>
        </w:rPr>
        <w:t xml:space="preserve">E-mail: </w:t>
      </w:r>
      <w:hyperlink r:id="rId6" w:history="1">
        <w:r w:rsidR="00875F47" w:rsidRPr="00A41469">
          <w:rPr>
            <w:rStyle w:val="Hyperlink"/>
            <w:rFonts w:asciiTheme="minorHAnsi" w:hAnsiTheme="minorHAnsi"/>
            <w:sz w:val="24"/>
            <w:szCs w:val="24"/>
          </w:rPr>
          <w:t>jfoley@chinooksd.ca</w:t>
        </w:r>
      </w:hyperlink>
    </w:p>
    <w:p w:rsidR="006538E1" w:rsidRPr="00A41469" w:rsidRDefault="00F27222" w:rsidP="00F27222">
      <w:pPr>
        <w:spacing w:after="0"/>
        <w:ind w:right="-1"/>
        <w:jc w:val="center"/>
        <w:rPr>
          <w:rFonts w:asciiTheme="minorHAnsi" w:hAnsiTheme="minorHAnsi"/>
          <w:sz w:val="24"/>
          <w:szCs w:val="24"/>
        </w:rPr>
      </w:pPr>
      <w:r w:rsidRPr="00A41469">
        <w:rPr>
          <w:rFonts w:asciiTheme="minorHAnsi" w:hAnsiTheme="minorHAnsi"/>
          <w:sz w:val="24"/>
          <w:szCs w:val="24"/>
        </w:rPr>
        <w:t xml:space="preserve">Remind Texts: </w:t>
      </w:r>
      <w:r w:rsidR="00D8320F" w:rsidRPr="00A41469">
        <w:rPr>
          <w:rFonts w:asciiTheme="minorHAnsi" w:hAnsiTheme="minorHAnsi"/>
          <w:sz w:val="24"/>
          <w:szCs w:val="24"/>
        </w:rPr>
        <w:t>t</w:t>
      </w:r>
      <w:r w:rsidR="00875F47" w:rsidRPr="00A41469">
        <w:rPr>
          <w:rFonts w:asciiTheme="minorHAnsi" w:hAnsiTheme="minorHAnsi"/>
          <w:sz w:val="24"/>
          <w:szCs w:val="24"/>
        </w:rPr>
        <w:t xml:space="preserve">ext </w:t>
      </w:r>
      <w:r w:rsidR="00717CC5">
        <w:rPr>
          <w:rFonts w:asciiTheme="minorHAnsi" w:hAnsiTheme="minorHAnsi"/>
          <w:sz w:val="24"/>
          <w:szCs w:val="24"/>
        </w:rPr>
        <w:t>@life20</w:t>
      </w:r>
      <w:r w:rsidR="00AD3241" w:rsidRPr="00AD3241">
        <w:rPr>
          <w:rFonts w:asciiTheme="minorHAnsi" w:hAnsiTheme="minorHAnsi"/>
          <w:sz w:val="24"/>
          <w:szCs w:val="24"/>
        </w:rPr>
        <w:t>fun</w:t>
      </w:r>
      <w:r w:rsidR="00AD3241">
        <w:rPr>
          <w:rFonts w:asciiTheme="minorHAnsi" w:hAnsiTheme="minorHAnsi"/>
          <w:sz w:val="24"/>
          <w:szCs w:val="24"/>
        </w:rPr>
        <w:t xml:space="preserve"> </w:t>
      </w:r>
      <w:r w:rsidR="00875F47" w:rsidRPr="00A41469">
        <w:rPr>
          <w:rFonts w:asciiTheme="minorHAnsi" w:hAnsiTheme="minorHAnsi"/>
          <w:sz w:val="24"/>
          <w:szCs w:val="24"/>
        </w:rPr>
        <w:t>to</w:t>
      </w:r>
      <w:r w:rsidRPr="00A41469">
        <w:rPr>
          <w:rFonts w:asciiTheme="minorHAnsi" w:hAnsiTheme="minorHAnsi"/>
          <w:sz w:val="24"/>
          <w:szCs w:val="24"/>
        </w:rPr>
        <w:t xml:space="preserve"> (306)</w:t>
      </w:r>
      <w:r w:rsidR="00CC2670" w:rsidRPr="00A41469">
        <w:rPr>
          <w:rFonts w:asciiTheme="minorHAnsi" w:hAnsiTheme="minorHAnsi"/>
          <w:sz w:val="24"/>
          <w:szCs w:val="24"/>
        </w:rPr>
        <w:t>992-6966</w:t>
      </w:r>
    </w:p>
    <w:p w:rsidR="00F27222" w:rsidRPr="00A41469" w:rsidRDefault="00F27222" w:rsidP="00F27222">
      <w:pPr>
        <w:spacing w:after="0"/>
        <w:ind w:right="-1"/>
        <w:jc w:val="center"/>
        <w:rPr>
          <w:rFonts w:asciiTheme="minorHAnsi" w:hAnsiTheme="minorHAnsi"/>
          <w:sz w:val="24"/>
          <w:szCs w:val="24"/>
        </w:rPr>
      </w:pPr>
      <w:r w:rsidRPr="00A41469">
        <w:rPr>
          <w:rFonts w:asciiTheme="minorHAnsi" w:hAnsiTheme="minorHAnsi"/>
          <w:sz w:val="24"/>
          <w:szCs w:val="24"/>
        </w:rPr>
        <w:t xml:space="preserve">Website: </w:t>
      </w:r>
      <w:hyperlink r:id="rId7" w:history="1">
        <w:r w:rsidRPr="00A41469">
          <w:rPr>
            <w:rStyle w:val="Hyperlink"/>
            <w:rFonts w:asciiTheme="minorHAnsi" w:hAnsiTheme="minorHAnsi"/>
            <w:sz w:val="24"/>
            <w:szCs w:val="24"/>
          </w:rPr>
          <w:t>www.liveitup4life.com</w:t>
        </w:r>
      </w:hyperlink>
      <w:r w:rsidRPr="00A41469">
        <w:rPr>
          <w:rFonts w:asciiTheme="minorHAnsi" w:hAnsiTheme="minorHAnsi"/>
          <w:sz w:val="24"/>
          <w:szCs w:val="24"/>
        </w:rPr>
        <w:t xml:space="preserve"> </w:t>
      </w:r>
    </w:p>
    <w:p w:rsidR="003F65A1" w:rsidRPr="003F65A1" w:rsidRDefault="003F65A1" w:rsidP="003F65A1">
      <w:pPr>
        <w:spacing w:before="240" w:after="0" w:line="240" w:lineRule="auto"/>
        <w:jc w:val="center"/>
        <w:rPr>
          <w:rFonts w:asciiTheme="minorHAnsi" w:hAnsiTheme="minorHAnsi"/>
          <w:b/>
          <w:sz w:val="24"/>
          <w:szCs w:val="24"/>
          <w:u w:val="single"/>
        </w:rPr>
      </w:pPr>
      <w:r w:rsidRPr="003F65A1">
        <w:rPr>
          <w:rFonts w:asciiTheme="minorHAnsi" w:hAnsiTheme="minorHAnsi"/>
          <w:b/>
          <w:sz w:val="24"/>
          <w:szCs w:val="24"/>
          <w:u w:val="single"/>
        </w:rPr>
        <w:t>Course Mark</w:t>
      </w:r>
    </w:p>
    <w:p w:rsidR="00694683" w:rsidRPr="00A41469" w:rsidRDefault="00157CEF" w:rsidP="003F65A1">
      <w:pPr>
        <w:spacing w:before="120" w:after="0" w:line="240" w:lineRule="auto"/>
        <w:jc w:val="center"/>
        <w:rPr>
          <w:rFonts w:asciiTheme="minorHAnsi" w:hAnsiTheme="minorHAnsi"/>
          <w:sz w:val="24"/>
          <w:szCs w:val="24"/>
        </w:rPr>
        <w:sectPr w:rsidR="00694683" w:rsidRPr="00A41469" w:rsidSect="00F27222">
          <w:type w:val="continuous"/>
          <w:pgSz w:w="12240" w:h="15840"/>
          <w:pgMar w:top="567" w:right="1183" w:bottom="426" w:left="1134" w:header="708" w:footer="708" w:gutter="0"/>
          <w:cols w:num="2" w:space="1"/>
          <w:docGrid w:linePitch="360"/>
        </w:sectPr>
      </w:pPr>
      <w:r w:rsidRPr="00A41469">
        <w:rPr>
          <w:rFonts w:asciiTheme="minorHAnsi" w:hAnsiTheme="minorHAnsi"/>
          <w:b/>
          <w:sz w:val="24"/>
          <w:szCs w:val="24"/>
        </w:rPr>
        <w:t>Exams &amp; Major Assignments</w:t>
      </w:r>
      <w:r w:rsidR="007250B0" w:rsidRPr="00A41469">
        <w:rPr>
          <w:rFonts w:asciiTheme="minorHAnsi" w:hAnsiTheme="minorHAnsi"/>
          <w:sz w:val="24"/>
          <w:szCs w:val="24"/>
        </w:rPr>
        <w:t xml:space="preserve">     </w:t>
      </w:r>
      <w:r w:rsidR="00875F47" w:rsidRPr="00A41469">
        <w:rPr>
          <w:rFonts w:asciiTheme="minorHAnsi" w:hAnsiTheme="minorHAnsi"/>
          <w:sz w:val="24"/>
          <w:szCs w:val="24"/>
        </w:rPr>
        <w:t xml:space="preserve">                                  </w:t>
      </w:r>
      <w:r w:rsidRPr="00A41469">
        <w:rPr>
          <w:rFonts w:asciiTheme="minorHAnsi" w:hAnsiTheme="minorHAnsi"/>
          <w:sz w:val="24"/>
          <w:szCs w:val="24"/>
        </w:rPr>
        <w:t>will be worth</w:t>
      </w:r>
      <w:r w:rsidR="007250B0" w:rsidRPr="00A41469">
        <w:rPr>
          <w:rFonts w:asciiTheme="minorHAnsi" w:hAnsiTheme="minorHAnsi"/>
          <w:sz w:val="24"/>
          <w:szCs w:val="24"/>
        </w:rPr>
        <w:t xml:space="preserve"> </w:t>
      </w:r>
      <w:r w:rsidRPr="00A41469">
        <w:rPr>
          <w:rFonts w:asciiTheme="minorHAnsi" w:hAnsiTheme="minorHAnsi"/>
          <w:b/>
          <w:i/>
          <w:sz w:val="24"/>
          <w:szCs w:val="24"/>
        </w:rPr>
        <w:t>twice as much</w:t>
      </w:r>
      <w:r w:rsidRPr="00A41469">
        <w:rPr>
          <w:rFonts w:asciiTheme="minorHAnsi" w:hAnsiTheme="minorHAnsi"/>
          <w:sz w:val="24"/>
          <w:szCs w:val="24"/>
        </w:rPr>
        <w:t xml:space="preserve"> </w:t>
      </w:r>
      <w:r w:rsidR="00875F47" w:rsidRPr="00A41469">
        <w:rPr>
          <w:rFonts w:asciiTheme="minorHAnsi" w:hAnsiTheme="minorHAnsi"/>
          <w:sz w:val="24"/>
          <w:szCs w:val="24"/>
        </w:rPr>
        <w:t xml:space="preserve">                                        </w:t>
      </w:r>
      <w:r w:rsidRPr="00A41469">
        <w:rPr>
          <w:rFonts w:asciiTheme="minorHAnsi" w:hAnsiTheme="minorHAnsi"/>
          <w:sz w:val="24"/>
          <w:szCs w:val="24"/>
        </w:rPr>
        <w:t>as</w:t>
      </w:r>
      <w:r w:rsidR="007250B0" w:rsidRPr="00A41469">
        <w:rPr>
          <w:rFonts w:asciiTheme="minorHAnsi" w:hAnsiTheme="minorHAnsi"/>
          <w:sz w:val="24"/>
          <w:szCs w:val="24"/>
        </w:rPr>
        <w:t xml:space="preserve"> </w:t>
      </w:r>
      <w:r w:rsidR="007250B0" w:rsidRPr="00A41469">
        <w:rPr>
          <w:rFonts w:asciiTheme="minorHAnsi" w:hAnsiTheme="minorHAnsi"/>
          <w:b/>
          <w:sz w:val="24"/>
          <w:szCs w:val="24"/>
        </w:rPr>
        <w:t xml:space="preserve">Assignments &amp; </w:t>
      </w:r>
      <w:r w:rsidRPr="00A41469">
        <w:rPr>
          <w:rFonts w:asciiTheme="minorHAnsi" w:hAnsiTheme="minorHAnsi"/>
          <w:b/>
          <w:sz w:val="24"/>
          <w:szCs w:val="24"/>
        </w:rPr>
        <w:t>Quizzes</w:t>
      </w:r>
      <w:r w:rsidR="007250B0" w:rsidRPr="00A41469">
        <w:rPr>
          <w:rFonts w:asciiTheme="minorHAnsi" w:hAnsiTheme="minorHAnsi"/>
          <w:sz w:val="24"/>
          <w:szCs w:val="24"/>
        </w:rPr>
        <w:t>.</w:t>
      </w:r>
    </w:p>
    <w:p w:rsidR="00AD3241" w:rsidRPr="003F65A1" w:rsidRDefault="00AD3241" w:rsidP="009D2593">
      <w:pPr>
        <w:spacing w:after="120" w:line="240" w:lineRule="auto"/>
        <w:jc w:val="both"/>
        <w:rPr>
          <w:rFonts w:asciiTheme="minorHAnsi" w:hAnsiTheme="minorHAnsi"/>
          <w:b/>
          <w:bCs/>
          <w:sz w:val="28"/>
          <w:szCs w:val="24"/>
          <w:lang w:val="en-US" w:eastAsia="en-CA"/>
        </w:rPr>
      </w:pPr>
      <w:r w:rsidRPr="003F65A1">
        <w:rPr>
          <w:rFonts w:asciiTheme="minorHAnsi" w:hAnsiTheme="minorHAnsi"/>
          <w:b/>
          <w:bCs/>
          <w:sz w:val="28"/>
          <w:szCs w:val="24"/>
          <w:lang w:val="en-US" w:eastAsia="en-CA"/>
        </w:rPr>
        <w:t>Aim</w:t>
      </w:r>
      <w:r w:rsidR="003F65A1">
        <w:rPr>
          <w:rFonts w:asciiTheme="minorHAnsi" w:hAnsiTheme="minorHAnsi"/>
          <w:b/>
          <w:bCs/>
          <w:sz w:val="28"/>
          <w:szCs w:val="24"/>
          <w:lang w:val="en-US" w:eastAsia="en-CA"/>
        </w:rPr>
        <w:t xml:space="preserve">: </w:t>
      </w:r>
      <w:r w:rsidRPr="009D2593">
        <w:rPr>
          <w:rFonts w:asciiTheme="minorHAnsi" w:hAnsiTheme="minorHAnsi"/>
          <w:sz w:val="19"/>
          <w:szCs w:val="19"/>
          <w:lang w:val="en-US" w:eastAsia="en-CA"/>
        </w:rPr>
        <w:t>to enable students to acquire and refine the knowledge, skills and abilities</w:t>
      </w:r>
      <w:r w:rsidR="003F65A1" w:rsidRPr="009D2593">
        <w:rPr>
          <w:rFonts w:asciiTheme="minorHAnsi" w:hAnsiTheme="minorHAnsi"/>
          <w:b/>
          <w:bCs/>
          <w:sz w:val="19"/>
          <w:szCs w:val="19"/>
          <w:lang w:val="en-US" w:eastAsia="en-CA"/>
        </w:rPr>
        <w:t xml:space="preserve"> </w:t>
      </w:r>
      <w:r w:rsidRPr="009D2593">
        <w:rPr>
          <w:rFonts w:asciiTheme="minorHAnsi" w:hAnsiTheme="minorHAnsi"/>
          <w:sz w:val="19"/>
          <w:szCs w:val="19"/>
          <w:lang w:val="en-US" w:eastAsia="en-CA"/>
        </w:rPr>
        <w:t>to plan and enhance their personal health, family life, community life, and career d</w:t>
      </w:r>
      <w:bookmarkStart w:id="0" w:name="_GoBack"/>
      <w:bookmarkEnd w:id="0"/>
      <w:r w:rsidRPr="009D2593">
        <w:rPr>
          <w:rFonts w:asciiTheme="minorHAnsi" w:hAnsiTheme="minorHAnsi"/>
          <w:sz w:val="19"/>
          <w:szCs w:val="19"/>
          <w:lang w:val="en-US" w:eastAsia="en-CA"/>
        </w:rPr>
        <w:t>evelopment in order to</w:t>
      </w:r>
      <w:r w:rsidR="003F65A1" w:rsidRPr="009D2593">
        <w:rPr>
          <w:rFonts w:asciiTheme="minorHAnsi" w:hAnsiTheme="minorHAnsi"/>
          <w:b/>
          <w:bCs/>
          <w:sz w:val="19"/>
          <w:szCs w:val="19"/>
          <w:lang w:val="en-US" w:eastAsia="en-CA"/>
        </w:rPr>
        <w:t xml:space="preserve"> </w:t>
      </w:r>
      <w:r w:rsidR="003F65A1" w:rsidRPr="009D2593">
        <w:rPr>
          <w:rFonts w:asciiTheme="minorHAnsi" w:hAnsiTheme="minorHAnsi"/>
          <w:sz w:val="19"/>
          <w:szCs w:val="19"/>
          <w:lang w:val="en-US" w:eastAsia="en-CA"/>
        </w:rPr>
        <w:t xml:space="preserve">effectively </w:t>
      </w:r>
      <w:r w:rsidRPr="009D2593">
        <w:rPr>
          <w:rFonts w:asciiTheme="minorHAnsi" w:hAnsiTheme="minorHAnsi"/>
          <w:sz w:val="19"/>
          <w:szCs w:val="19"/>
          <w:lang w:val="en-US" w:eastAsia="en-CA"/>
        </w:rPr>
        <w:t>manage the change encountered in the transitions they will face throughout life.</w:t>
      </w:r>
    </w:p>
    <w:p w:rsidR="00AD3241" w:rsidRPr="009D2593" w:rsidRDefault="00AD3241" w:rsidP="009D2593">
      <w:pPr>
        <w:spacing w:before="120" w:after="60" w:line="240" w:lineRule="auto"/>
        <w:jc w:val="both"/>
        <w:rPr>
          <w:rFonts w:asciiTheme="minorHAnsi" w:hAnsiTheme="minorHAnsi"/>
          <w:b/>
          <w:bCs/>
          <w:sz w:val="20"/>
          <w:szCs w:val="19"/>
          <w:lang w:val="en-US" w:eastAsia="en-CA"/>
        </w:rPr>
      </w:pPr>
      <w:r w:rsidRPr="003F65A1">
        <w:rPr>
          <w:rFonts w:asciiTheme="minorHAnsi" w:hAnsiTheme="minorHAnsi"/>
          <w:b/>
          <w:bCs/>
          <w:sz w:val="28"/>
          <w:szCs w:val="24"/>
          <w:lang w:val="en-US" w:eastAsia="en-CA"/>
        </w:rPr>
        <w:t>Goals</w:t>
      </w:r>
      <w:r w:rsidR="003F65A1" w:rsidRPr="003F65A1">
        <w:rPr>
          <w:rFonts w:asciiTheme="minorHAnsi" w:hAnsiTheme="minorHAnsi"/>
          <w:b/>
          <w:bCs/>
          <w:sz w:val="28"/>
          <w:szCs w:val="24"/>
          <w:lang w:val="en-US" w:eastAsia="en-CA"/>
        </w:rPr>
        <w:t>:</w:t>
      </w:r>
      <w:r w:rsidR="003F65A1">
        <w:rPr>
          <w:rFonts w:asciiTheme="minorHAnsi" w:hAnsiTheme="minorHAnsi"/>
          <w:b/>
          <w:bCs/>
          <w:sz w:val="28"/>
          <w:szCs w:val="24"/>
          <w:lang w:val="en-US" w:eastAsia="en-CA"/>
        </w:rPr>
        <w:t xml:space="preserve"> </w:t>
      </w:r>
      <w:r w:rsidR="003F65A1" w:rsidRPr="009D2593">
        <w:rPr>
          <w:rFonts w:asciiTheme="minorHAnsi" w:hAnsiTheme="minorHAnsi"/>
          <w:sz w:val="20"/>
          <w:szCs w:val="19"/>
          <w:lang w:val="en-US" w:eastAsia="en-CA"/>
        </w:rPr>
        <w:t>Life Transitions center</w:t>
      </w:r>
      <w:r w:rsidRPr="009D2593">
        <w:rPr>
          <w:rFonts w:asciiTheme="minorHAnsi" w:hAnsiTheme="minorHAnsi"/>
          <w:sz w:val="20"/>
          <w:szCs w:val="19"/>
          <w:lang w:val="en-US" w:eastAsia="en-CA"/>
        </w:rPr>
        <w:t>s on personal health, family, community and career, while providing students the</w:t>
      </w:r>
      <w:r w:rsidR="003F65A1" w:rsidRPr="009D2593">
        <w:rPr>
          <w:rFonts w:asciiTheme="minorHAnsi" w:hAnsiTheme="minorHAnsi"/>
          <w:sz w:val="20"/>
          <w:szCs w:val="19"/>
          <w:lang w:val="en-US" w:eastAsia="en-CA"/>
        </w:rPr>
        <w:t xml:space="preserve"> </w:t>
      </w:r>
      <w:r w:rsidRPr="009D2593">
        <w:rPr>
          <w:rFonts w:asciiTheme="minorHAnsi" w:hAnsiTheme="minorHAnsi"/>
          <w:sz w:val="20"/>
          <w:szCs w:val="19"/>
          <w:lang w:val="en-US" w:eastAsia="en-CA"/>
        </w:rPr>
        <w:t>opportunity to:</w:t>
      </w:r>
    </w:p>
    <w:p w:rsidR="009D2593" w:rsidRDefault="009D2593" w:rsidP="009D2593">
      <w:pPr>
        <w:pStyle w:val="ListParagraph"/>
        <w:numPr>
          <w:ilvl w:val="0"/>
          <w:numId w:val="2"/>
        </w:numPr>
        <w:spacing w:after="0" w:line="240" w:lineRule="auto"/>
        <w:ind w:left="714" w:hanging="357"/>
        <w:contextualSpacing w:val="0"/>
        <w:jc w:val="both"/>
        <w:rPr>
          <w:rFonts w:asciiTheme="minorHAnsi" w:hAnsiTheme="minorHAnsi"/>
          <w:sz w:val="20"/>
          <w:szCs w:val="24"/>
          <w:lang w:val="en-US" w:eastAsia="en-CA"/>
        </w:rPr>
        <w:sectPr w:rsidR="009D2593" w:rsidSect="007250B0">
          <w:type w:val="continuous"/>
          <w:pgSz w:w="12240" w:h="15840"/>
          <w:pgMar w:top="567" w:right="1440" w:bottom="426" w:left="1440" w:header="708" w:footer="708" w:gutter="0"/>
          <w:cols w:space="708"/>
          <w:docGrid w:linePitch="360"/>
        </w:sectPr>
      </w:pPr>
    </w:p>
    <w:p w:rsidR="00AD3241" w:rsidRPr="009D2593" w:rsidRDefault="00AD3241" w:rsidP="009D2593">
      <w:pPr>
        <w:pStyle w:val="ListParagraph"/>
        <w:numPr>
          <w:ilvl w:val="0"/>
          <w:numId w:val="2"/>
        </w:numPr>
        <w:spacing w:after="40" w:line="240" w:lineRule="auto"/>
        <w:ind w:left="284" w:hanging="284"/>
        <w:contextualSpacing w:val="0"/>
        <w:jc w:val="both"/>
        <w:rPr>
          <w:rFonts w:asciiTheme="minorHAnsi" w:hAnsiTheme="minorHAnsi"/>
          <w:sz w:val="19"/>
          <w:szCs w:val="19"/>
          <w:lang w:val="en-US" w:eastAsia="en-CA"/>
        </w:rPr>
      </w:pPr>
      <w:r w:rsidRPr="009D2593">
        <w:rPr>
          <w:rFonts w:asciiTheme="minorHAnsi" w:hAnsiTheme="minorHAnsi"/>
          <w:sz w:val="19"/>
          <w:szCs w:val="19"/>
          <w:lang w:val="en-US" w:eastAsia="en-CA"/>
        </w:rPr>
        <w:t>develop a positive self-concept and the skills necessary to maintain it</w:t>
      </w:r>
    </w:p>
    <w:p w:rsidR="00AD3241" w:rsidRPr="009D2593" w:rsidRDefault="00AD3241" w:rsidP="009D2593">
      <w:pPr>
        <w:pStyle w:val="ListParagraph"/>
        <w:numPr>
          <w:ilvl w:val="0"/>
          <w:numId w:val="2"/>
        </w:numPr>
        <w:spacing w:after="40" w:line="240" w:lineRule="auto"/>
        <w:ind w:left="284" w:hanging="284"/>
        <w:contextualSpacing w:val="0"/>
        <w:jc w:val="both"/>
        <w:rPr>
          <w:rFonts w:asciiTheme="minorHAnsi" w:hAnsiTheme="minorHAnsi"/>
          <w:sz w:val="19"/>
          <w:szCs w:val="19"/>
          <w:lang w:val="en-US" w:eastAsia="en-CA"/>
        </w:rPr>
      </w:pPr>
      <w:r w:rsidRPr="009D2593">
        <w:rPr>
          <w:rFonts w:asciiTheme="minorHAnsi" w:hAnsiTheme="minorHAnsi"/>
          <w:sz w:val="19"/>
          <w:szCs w:val="19"/>
          <w:lang w:val="en-US" w:eastAsia="en-CA"/>
        </w:rPr>
        <w:t>develop the attitude and skills to grow with change</w:t>
      </w:r>
    </w:p>
    <w:p w:rsidR="00AD3241" w:rsidRPr="009D2593" w:rsidRDefault="003F65A1" w:rsidP="009D2593">
      <w:pPr>
        <w:pStyle w:val="ListParagraph"/>
        <w:numPr>
          <w:ilvl w:val="0"/>
          <w:numId w:val="2"/>
        </w:numPr>
        <w:spacing w:after="40" w:line="240" w:lineRule="auto"/>
        <w:ind w:left="284" w:hanging="284"/>
        <w:contextualSpacing w:val="0"/>
        <w:jc w:val="both"/>
        <w:rPr>
          <w:rFonts w:asciiTheme="minorHAnsi" w:hAnsiTheme="minorHAnsi"/>
          <w:sz w:val="19"/>
          <w:szCs w:val="19"/>
          <w:lang w:val="en-US" w:eastAsia="en-CA"/>
        </w:rPr>
      </w:pPr>
      <w:r w:rsidRPr="009D2593">
        <w:rPr>
          <w:rFonts w:asciiTheme="minorHAnsi" w:hAnsiTheme="minorHAnsi"/>
          <w:sz w:val="19"/>
          <w:szCs w:val="19"/>
          <w:lang w:val="en-US" w:eastAsia="en-CA"/>
        </w:rPr>
        <w:t>acquire and practic</w:t>
      </w:r>
      <w:r w:rsidR="00AD3241" w:rsidRPr="009D2593">
        <w:rPr>
          <w:rFonts w:asciiTheme="minorHAnsi" w:hAnsiTheme="minorHAnsi"/>
          <w:sz w:val="19"/>
          <w:szCs w:val="19"/>
          <w:lang w:val="en-US" w:eastAsia="en-CA"/>
        </w:rPr>
        <w:t>e the skills needed to progress from dependence to independence</w:t>
      </w:r>
    </w:p>
    <w:p w:rsidR="00AD3241" w:rsidRPr="009D2593" w:rsidRDefault="00AD3241" w:rsidP="009D2593">
      <w:pPr>
        <w:pStyle w:val="ListParagraph"/>
        <w:numPr>
          <w:ilvl w:val="0"/>
          <w:numId w:val="2"/>
        </w:numPr>
        <w:spacing w:after="40" w:line="240" w:lineRule="auto"/>
        <w:ind w:left="284" w:hanging="284"/>
        <w:contextualSpacing w:val="0"/>
        <w:jc w:val="both"/>
        <w:rPr>
          <w:rFonts w:asciiTheme="minorHAnsi" w:hAnsiTheme="minorHAnsi"/>
          <w:sz w:val="19"/>
          <w:szCs w:val="19"/>
          <w:lang w:val="en-US" w:eastAsia="en-CA"/>
        </w:rPr>
      </w:pPr>
      <w:r w:rsidRPr="009D2593">
        <w:rPr>
          <w:rFonts w:asciiTheme="minorHAnsi" w:hAnsiTheme="minorHAnsi"/>
          <w:sz w:val="19"/>
          <w:szCs w:val="19"/>
          <w:lang w:val="en-US" w:eastAsia="en-CA"/>
        </w:rPr>
        <w:t>apply knowledge and skills to take charge of their lives in achieving and maintaining a positive</w:t>
      </w:r>
      <w:r w:rsidR="003F65A1" w:rsidRPr="009D2593">
        <w:rPr>
          <w:rFonts w:asciiTheme="minorHAnsi" w:hAnsiTheme="minorHAnsi"/>
          <w:sz w:val="19"/>
          <w:szCs w:val="19"/>
          <w:lang w:val="en-US" w:eastAsia="en-CA"/>
        </w:rPr>
        <w:t xml:space="preserve"> </w:t>
      </w:r>
      <w:r w:rsidRPr="009D2593">
        <w:rPr>
          <w:rFonts w:asciiTheme="minorHAnsi" w:hAnsiTheme="minorHAnsi"/>
          <w:sz w:val="19"/>
          <w:szCs w:val="19"/>
          <w:lang w:val="en-US" w:eastAsia="en-CA"/>
        </w:rPr>
        <w:t>lifestyle</w:t>
      </w:r>
    </w:p>
    <w:p w:rsidR="00A41469" w:rsidRPr="009D2593" w:rsidRDefault="00AD3241" w:rsidP="009D2593">
      <w:pPr>
        <w:pStyle w:val="ListParagraph"/>
        <w:numPr>
          <w:ilvl w:val="0"/>
          <w:numId w:val="2"/>
        </w:numPr>
        <w:spacing w:after="240" w:line="240" w:lineRule="auto"/>
        <w:ind w:left="284" w:hanging="284"/>
        <w:jc w:val="both"/>
        <w:rPr>
          <w:rFonts w:asciiTheme="minorHAnsi" w:hAnsiTheme="minorHAnsi"/>
          <w:sz w:val="19"/>
          <w:szCs w:val="19"/>
          <w:lang w:val="en-US" w:eastAsia="en-CA"/>
        </w:rPr>
      </w:pPr>
      <w:proofErr w:type="gramStart"/>
      <w:r w:rsidRPr="009D2593">
        <w:rPr>
          <w:rFonts w:asciiTheme="minorHAnsi" w:hAnsiTheme="minorHAnsi"/>
          <w:sz w:val="19"/>
          <w:szCs w:val="19"/>
          <w:lang w:val="en-US" w:eastAsia="en-CA"/>
        </w:rPr>
        <w:t>examine</w:t>
      </w:r>
      <w:proofErr w:type="gramEnd"/>
      <w:r w:rsidRPr="009D2593">
        <w:rPr>
          <w:rFonts w:asciiTheme="minorHAnsi" w:hAnsiTheme="minorHAnsi"/>
          <w:sz w:val="19"/>
          <w:szCs w:val="19"/>
          <w:lang w:val="en-US" w:eastAsia="en-CA"/>
        </w:rPr>
        <w:t>, reflect and act upon their personal goals and level of well-being in managing their lives as</w:t>
      </w:r>
      <w:r w:rsidR="003F65A1" w:rsidRPr="009D2593">
        <w:rPr>
          <w:rFonts w:asciiTheme="minorHAnsi" w:hAnsiTheme="minorHAnsi"/>
          <w:sz w:val="19"/>
          <w:szCs w:val="19"/>
          <w:lang w:val="en-US" w:eastAsia="en-CA"/>
        </w:rPr>
        <w:t xml:space="preserve"> </w:t>
      </w:r>
      <w:r w:rsidRPr="009D2593">
        <w:rPr>
          <w:rFonts w:asciiTheme="minorHAnsi" w:hAnsiTheme="minorHAnsi"/>
          <w:sz w:val="19"/>
          <w:szCs w:val="19"/>
          <w:lang w:val="en-US" w:eastAsia="en-CA"/>
        </w:rPr>
        <w:t>purposeful, contributing members of society.</w:t>
      </w:r>
    </w:p>
    <w:p w:rsidR="009D2593" w:rsidRDefault="009D2593" w:rsidP="003C10A2">
      <w:pPr>
        <w:spacing w:before="40" w:after="40"/>
        <w:jc w:val="both"/>
        <w:rPr>
          <w:b/>
          <w:bCs/>
          <w:sz w:val="18"/>
        </w:rPr>
        <w:sectPr w:rsidR="009D2593" w:rsidSect="009D2593">
          <w:type w:val="continuous"/>
          <w:pgSz w:w="12240" w:h="15840"/>
          <w:pgMar w:top="567" w:right="1440" w:bottom="426" w:left="1440" w:header="708" w:footer="708" w:gutter="0"/>
          <w:cols w:num="2" w:space="234"/>
          <w:docGrid w:linePitch="360"/>
        </w:sectPr>
      </w:pPr>
    </w:p>
    <w:tbl>
      <w:tblPr>
        <w:tblStyle w:val="TableGrid"/>
        <w:tblW w:w="0" w:type="auto"/>
        <w:jc w:val="center"/>
        <w:tblLook w:val="04A0" w:firstRow="1" w:lastRow="0" w:firstColumn="1" w:lastColumn="0" w:noHBand="0" w:noVBand="1"/>
      </w:tblPr>
      <w:tblGrid>
        <w:gridCol w:w="4788"/>
        <w:gridCol w:w="4788"/>
      </w:tblGrid>
      <w:tr w:rsidR="003C10A2" w:rsidTr="00261CC6">
        <w:trPr>
          <w:trHeight w:val="298"/>
          <w:jc w:val="center"/>
        </w:trPr>
        <w:tc>
          <w:tcPr>
            <w:tcW w:w="9576" w:type="dxa"/>
            <w:gridSpan w:val="2"/>
            <w:shd w:val="clear" w:color="auto" w:fill="D9D9D9"/>
          </w:tcPr>
          <w:p w:rsidR="003C10A2" w:rsidRPr="009D2593" w:rsidRDefault="003C10A2" w:rsidP="003C10A2">
            <w:pPr>
              <w:spacing w:before="40" w:after="40"/>
              <w:jc w:val="both"/>
              <w:rPr>
                <w:b/>
                <w:bCs/>
                <w:sz w:val="18"/>
              </w:rPr>
            </w:pPr>
            <w:r w:rsidRPr="009D2593">
              <w:rPr>
                <w:b/>
                <w:bCs/>
                <w:sz w:val="18"/>
              </w:rPr>
              <w:t>Module 1: Orientation To Life Transitions (Required)</w:t>
            </w:r>
          </w:p>
        </w:tc>
      </w:tr>
      <w:tr w:rsidR="003C10A2" w:rsidTr="00483D0B">
        <w:trPr>
          <w:trHeight w:val="506"/>
          <w:jc w:val="center"/>
        </w:trPr>
        <w:tc>
          <w:tcPr>
            <w:tcW w:w="9576" w:type="dxa"/>
            <w:gridSpan w:val="2"/>
          </w:tcPr>
          <w:p w:rsidR="003C10A2" w:rsidRPr="009D2593" w:rsidRDefault="003C10A2" w:rsidP="003C10A2">
            <w:pPr>
              <w:spacing w:before="40" w:after="40"/>
              <w:rPr>
                <w:sz w:val="18"/>
              </w:rPr>
            </w:pPr>
            <w:r w:rsidRPr="009D2593">
              <w:rPr>
                <w:sz w:val="18"/>
              </w:rPr>
              <w:t>Transitions defined, types of transitions, planning for transitions, personal reflection &amp; assessment, decision-making models, goal setting, personal standards and goals.</w:t>
            </w:r>
          </w:p>
        </w:tc>
      </w:tr>
      <w:tr w:rsidR="003C10A2" w:rsidTr="0009406F">
        <w:trPr>
          <w:trHeight w:val="298"/>
          <w:jc w:val="center"/>
        </w:trPr>
        <w:tc>
          <w:tcPr>
            <w:tcW w:w="9576" w:type="dxa"/>
            <w:gridSpan w:val="2"/>
            <w:shd w:val="clear" w:color="auto" w:fill="D9D9D9" w:themeFill="background1" w:themeFillShade="D9"/>
          </w:tcPr>
          <w:p w:rsidR="003C10A2" w:rsidRPr="009D2593" w:rsidRDefault="003C10A2" w:rsidP="003C10A2">
            <w:pPr>
              <w:spacing w:before="40" w:after="40"/>
              <w:jc w:val="both"/>
              <w:rPr>
                <w:b/>
                <w:bCs/>
                <w:sz w:val="18"/>
              </w:rPr>
            </w:pPr>
            <w:r w:rsidRPr="009D2593">
              <w:rPr>
                <w:b/>
                <w:bCs/>
                <w:sz w:val="18"/>
              </w:rPr>
              <w:t>Module 2: Personal Self-Knowledge (Required)</w:t>
            </w:r>
          </w:p>
        </w:tc>
      </w:tr>
      <w:tr w:rsidR="003C10A2" w:rsidTr="00C843F3">
        <w:trPr>
          <w:trHeight w:val="725"/>
          <w:jc w:val="center"/>
        </w:trPr>
        <w:tc>
          <w:tcPr>
            <w:tcW w:w="9576" w:type="dxa"/>
            <w:gridSpan w:val="2"/>
          </w:tcPr>
          <w:p w:rsidR="003C10A2" w:rsidRPr="009D2593" w:rsidRDefault="003C10A2" w:rsidP="003C10A2">
            <w:pPr>
              <w:spacing w:before="40" w:after="40"/>
              <w:rPr>
                <w:sz w:val="18"/>
              </w:rPr>
            </w:pPr>
            <w:r w:rsidRPr="009D2593">
              <w:rPr>
                <w:sz w:val="18"/>
              </w:rPr>
              <w:t>Mental health &amp; managing change, abilities &amp; interest inventories, personal inventories, personal standards vs behavior, effects of stereotyping on self-concept, self-concept &amp; future achievements, communication skills, defense mechanisms, mental health, decision-making &amp; managing change.</w:t>
            </w:r>
          </w:p>
        </w:tc>
      </w:tr>
      <w:tr w:rsidR="003C10A2" w:rsidTr="000B2EFB">
        <w:trPr>
          <w:trHeight w:val="298"/>
          <w:jc w:val="center"/>
        </w:trPr>
        <w:tc>
          <w:tcPr>
            <w:tcW w:w="9576" w:type="dxa"/>
            <w:gridSpan w:val="2"/>
            <w:shd w:val="clear" w:color="auto" w:fill="D9D9D9" w:themeFill="background1" w:themeFillShade="D9"/>
          </w:tcPr>
          <w:p w:rsidR="003C10A2" w:rsidRPr="009D2593" w:rsidRDefault="003C10A2" w:rsidP="003C10A2">
            <w:pPr>
              <w:spacing w:before="40" w:after="40"/>
              <w:jc w:val="both"/>
              <w:rPr>
                <w:b/>
                <w:bCs/>
                <w:sz w:val="18"/>
              </w:rPr>
            </w:pPr>
            <w:r w:rsidRPr="009D2593">
              <w:rPr>
                <w:b/>
                <w:bCs/>
                <w:sz w:val="18"/>
              </w:rPr>
              <w:t>Module 3: Relationships (Required)</w:t>
            </w:r>
          </w:p>
        </w:tc>
      </w:tr>
      <w:tr w:rsidR="003C10A2" w:rsidTr="00F44E59">
        <w:trPr>
          <w:trHeight w:val="725"/>
          <w:jc w:val="center"/>
        </w:trPr>
        <w:tc>
          <w:tcPr>
            <w:tcW w:w="9576" w:type="dxa"/>
            <w:gridSpan w:val="2"/>
          </w:tcPr>
          <w:p w:rsidR="003C10A2" w:rsidRPr="009D2593" w:rsidRDefault="003C10A2" w:rsidP="003C10A2">
            <w:pPr>
              <w:spacing w:before="40" w:after="40"/>
              <w:rPr>
                <w:sz w:val="18"/>
              </w:rPr>
            </w:pPr>
            <w:r w:rsidRPr="009D2593">
              <w:rPr>
                <w:sz w:val="18"/>
              </w:rPr>
              <w:t>Types of relationships, different relationships meet different needs, commitments &amp; expectations, initiating acquaintances &amp; closer relationships, maintaining relationships, communication skills, terminating relationships, common problems, managing conflict.</w:t>
            </w:r>
          </w:p>
        </w:tc>
      </w:tr>
      <w:tr w:rsidR="003C10A2" w:rsidTr="006015F0">
        <w:trPr>
          <w:trHeight w:val="298"/>
          <w:jc w:val="center"/>
        </w:trPr>
        <w:tc>
          <w:tcPr>
            <w:tcW w:w="9576" w:type="dxa"/>
            <w:gridSpan w:val="2"/>
            <w:shd w:val="clear" w:color="auto" w:fill="D9D9D9" w:themeFill="background1" w:themeFillShade="D9"/>
          </w:tcPr>
          <w:p w:rsidR="003C10A2" w:rsidRPr="009D2593" w:rsidRDefault="003C10A2" w:rsidP="003C10A2">
            <w:pPr>
              <w:spacing w:before="40" w:after="40"/>
              <w:jc w:val="both"/>
              <w:rPr>
                <w:b/>
                <w:bCs/>
                <w:sz w:val="18"/>
              </w:rPr>
            </w:pPr>
            <w:r w:rsidRPr="009D2593">
              <w:rPr>
                <w:b/>
                <w:bCs/>
                <w:sz w:val="18"/>
              </w:rPr>
              <w:t>Module 4: Time Management (Required)</w:t>
            </w:r>
          </w:p>
        </w:tc>
      </w:tr>
      <w:tr w:rsidR="003C10A2" w:rsidTr="00437876">
        <w:trPr>
          <w:trHeight w:val="506"/>
          <w:jc w:val="center"/>
        </w:trPr>
        <w:tc>
          <w:tcPr>
            <w:tcW w:w="9576" w:type="dxa"/>
            <w:gridSpan w:val="2"/>
          </w:tcPr>
          <w:p w:rsidR="003C10A2" w:rsidRPr="009D2593" w:rsidRDefault="003C10A2" w:rsidP="003C10A2">
            <w:pPr>
              <w:spacing w:before="40" w:after="40"/>
              <w:rPr>
                <w:sz w:val="18"/>
              </w:rPr>
            </w:pPr>
            <w:r w:rsidRPr="009D2593">
              <w:rPr>
                <w:sz w:val="18"/>
              </w:rPr>
              <w:t>Time management as stress management, personality types &amp; time management, assessment of personal practices, effective time management techniques, common time wasters.</w:t>
            </w:r>
          </w:p>
        </w:tc>
      </w:tr>
      <w:tr w:rsidR="003C10A2" w:rsidTr="00963B53">
        <w:trPr>
          <w:trHeight w:val="298"/>
          <w:jc w:val="center"/>
        </w:trPr>
        <w:tc>
          <w:tcPr>
            <w:tcW w:w="9576" w:type="dxa"/>
            <w:gridSpan w:val="2"/>
            <w:shd w:val="clear" w:color="auto" w:fill="D9D9D9" w:themeFill="background1" w:themeFillShade="D9"/>
          </w:tcPr>
          <w:p w:rsidR="003C10A2" w:rsidRPr="009D2593" w:rsidRDefault="003C10A2" w:rsidP="003C10A2">
            <w:pPr>
              <w:spacing w:before="40" w:after="40"/>
              <w:jc w:val="both"/>
              <w:rPr>
                <w:b/>
                <w:bCs/>
                <w:sz w:val="18"/>
              </w:rPr>
            </w:pPr>
            <w:r w:rsidRPr="009D2593">
              <w:rPr>
                <w:b/>
                <w:bCs/>
                <w:sz w:val="18"/>
              </w:rPr>
              <w:t>Module 5: Career Self-Knowledge (Required)</w:t>
            </w:r>
          </w:p>
        </w:tc>
      </w:tr>
      <w:tr w:rsidR="003C10A2" w:rsidTr="004221E4">
        <w:trPr>
          <w:trHeight w:val="298"/>
          <w:jc w:val="center"/>
        </w:trPr>
        <w:tc>
          <w:tcPr>
            <w:tcW w:w="9576" w:type="dxa"/>
            <w:gridSpan w:val="2"/>
            <w:shd w:val="clear" w:color="auto" w:fill="auto"/>
          </w:tcPr>
          <w:p w:rsidR="003C10A2" w:rsidRPr="009D2593" w:rsidRDefault="003C10A2" w:rsidP="003C10A2">
            <w:pPr>
              <w:spacing w:before="40" w:after="40"/>
              <w:jc w:val="both"/>
              <w:rPr>
                <w:bCs/>
                <w:sz w:val="18"/>
              </w:rPr>
            </w:pPr>
            <w:r w:rsidRPr="009D2593">
              <w:rPr>
                <w:bCs/>
                <w:sz w:val="18"/>
              </w:rPr>
              <w:t>Relating self to careers, lifestyle &amp; leisure choices, lifestyle &amp; characteristics of entrepreneurs, changing career patterns, stereotypes &amp; roles in workplaces, entrepreneurial opportunities, relating personal profiles to career clusters, supports.</w:t>
            </w:r>
          </w:p>
        </w:tc>
      </w:tr>
      <w:tr w:rsidR="003C10A2" w:rsidTr="003C10A2">
        <w:trPr>
          <w:trHeight w:val="298"/>
          <w:jc w:val="center"/>
        </w:trPr>
        <w:tc>
          <w:tcPr>
            <w:tcW w:w="4788" w:type="dxa"/>
            <w:shd w:val="clear" w:color="auto" w:fill="D9D9D9" w:themeFill="background1" w:themeFillShade="D9"/>
          </w:tcPr>
          <w:p w:rsidR="003C10A2" w:rsidRPr="009D2593" w:rsidRDefault="003C10A2" w:rsidP="003C10A2">
            <w:pPr>
              <w:spacing w:before="40" w:after="40"/>
              <w:jc w:val="both"/>
              <w:rPr>
                <w:b/>
                <w:sz w:val="18"/>
              </w:rPr>
            </w:pPr>
            <w:r w:rsidRPr="009D2593">
              <w:rPr>
                <w:b/>
                <w:bCs/>
                <w:sz w:val="18"/>
              </w:rPr>
              <w:t>Module 6: Life Balance (Optional)</w:t>
            </w:r>
          </w:p>
        </w:tc>
        <w:tc>
          <w:tcPr>
            <w:tcW w:w="4788" w:type="dxa"/>
            <w:shd w:val="clear" w:color="auto" w:fill="D9D9D9" w:themeFill="background1" w:themeFillShade="D9"/>
          </w:tcPr>
          <w:p w:rsidR="003C10A2" w:rsidRPr="009D2593" w:rsidRDefault="003C10A2" w:rsidP="008951BA">
            <w:pPr>
              <w:spacing w:before="40" w:after="40"/>
              <w:jc w:val="both"/>
              <w:rPr>
                <w:b/>
                <w:sz w:val="18"/>
              </w:rPr>
            </w:pPr>
            <w:r w:rsidRPr="009D2593">
              <w:rPr>
                <w:b/>
                <w:bCs/>
                <w:sz w:val="18"/>
              </w:rPr>
              <w:t>Module 7: Community Issues and Ethics (Optional)</w:t>
            </w:r>
          </w:p>
        </w:tc>
      </w:tr>
      <w:tr w:rsidR="003C10A2" w:rsidTr="003C10A2">
        <w:trPr>
          <w:trHeight w:val="506"/>
          <w:jc w:val="center"/>
        </w:trPr>
        <w:tc>
          <w:tcPr>
            <w:tcW w:w="4788" w:type="dxa"/>
          </w:tcPr>
          <w:p w:rsidR="003C10A2" w:rsidRPr="009D2593" w:rsidRDefault="003C10A2" w:rsidP="003C10A2">
            <w:pPr>
              <w:spacing w:before="40" w:after="40"/>
              <w:rPr>
                <w:sz w:val="18"/>
              </w:rPr>
            </w:pPr>
            <w:r w:rsidRPr="009D2593">
              <w:rPr>
                <w:sz w:val="18"/>
              </w:rPr>
              <w:t>Balance vs unbalance in areas of life, impact of lifestyle choices on career &amp; work, impact of lifestyle choices on family life, influences of culture &amp; gender, healthy vs unhealthy behavior patterns.</w:t>
            </w:r>
          </w:p>
        </w:tc>
        <w:tc>
          <w:tcPr>
            <w:tcW w:w="4788" w:type="dxa"/>
          </w:tcPr>
          <w:p w:rsidR="003C10A2" w:rsidRPr="009D2593" w:rsidRDefault="009D2593" w:rsidP="008951BA">
            <w:pPr>
              <w:spacing w:before="40" w:after="40"/>
              <w:rPr>
                <w:sz w:val="18"/>
              </w:rPr>
            </w:pPr>
            <w:r w:rsidRPr="009D2593">
              <w:rPr>
                <w:sz w:val="18"/>
              </w:rPr>
              <w:t>Identifying c</w:t>
            </w:r>
            <w:r w:rsidR="003C10A2" w:rsidRPr="009D2593">
              <w:rPr>
                <w:sz w:val="18"/>
              </w:rPr>
              <w:t>ommunity or ethical issues, proposals for solution, analyzing issues.</w:t>
            </w:r>
          </w:p>
        </w:tc>
      </w:tr>
      <w:tr w:rsidR="003C10A2" w:rsidTr="009D2593">
        <w:trPr>
          <w:trHeight w:val="308"/>
          <w:jc w:val="center"/>
        </w:trPr>
        <w:tc>
          <w:tcPr>
            <w:tcW w:w="4788" w:type="dxa"/>
            <w:shd w:val="clear" w:color="auto" w:fill="D9D9D9" w:themeFill="background1" w:themeFillShade="D9"/>
          </w:tcPr>
          <w:p w:rsidR="003C10A2" w:rsidRPr="009D2593" w:rsidRDefault="003C10A2" w:rsidP="00423764">
            <w:pPr>
              <w:spacing w:before="40" w:after="40"/>
              <w:jc w:val="both"/>
              <w:rPr>
                <w:b/>
                <w:sz w:val="18"/>
              </w:rPr>
            </w:pPr>
            <w:r w:rsidRPr="009D2593">
              <w:rPr>
                <w:b/>
                <w:bCs/>
                <w:sz w:val="18"/>
              </w:rPr>
              <w:t>Module 8: Career Services and Supports (Optional)</w:t>
            </w:r>
          </w:p>
        </w:tc>
        <w:tc>
          <w:tcPr>
            <w:tcW w:w="4788" w:type="dxa"/>
            <w:shd w:val="clear" w:color="auto" w:fill="D9D9D9" w:themeFill="background1" w:themeFillShade="D9"/>
          </w:tcPr>
          <w:p w:rsidR="003C10A2" w:rsidRPr="009D2593" w:rsidRDefault="003C10A2" w:rsidP="00251BD5">
            <w:pPr>
              <w:spacing w:before="40" w:after="40"/>
              <w:jc w:val="both"/>
              <w:rPr>
                <w:b/>
                <w:sz w:val="18"/>
              </w:rPr>
            </w:pPr>
            <w:r w:rsidRPr="009D2593">
              <w:rPr>
                <w:b/>
                <w:bCs/>
                <w:sz w:val="18"/>
              </w:rPr>
              <w:t>Module 9: Human Sexuality (Optional)</w:t>
            </w:r>
          </w:p>
        </w:tc>
      </w:tr>
      <w:tr w:rsidR="003C10A2" w:rsidTr="009D2593">
        <w:trPr>
          <w:trHeight w:val="100"/>
          <w:jc w:val="center"/>
        </w:trPr>
        <w:tc>
          <w:tcPr>
            <w:tcW w:w="4788" w:type="dxa"/>
          </w:tcPr>
          <w:p w:rsidR="003C10A2" w:rsidRPr="009D2593" w:rsidRDefault="003C10A2" w:rsidP="009D2593">
            <w:pPr>
              <w:spacing w:before="40" w:after="40"/>
              <w:rPr>
                <w:sz w:val="18"/>
              </w:rPr>
            </w:pPr>
            <w:r w:rsidRPr="009D2593">
              <w:rPr>
                <w:sz w:val="18"/>
              </w:rPr>
              <w:t>Defined, placement services &amp; transitions from high school, financial services &amp; supports for post-secondary, entrepreneur</w:t>
            </w:r>
            <w:r w:rsidR="009D2593" w:rsidRPr="009D2593">
              <w:rPr>
                <w:sz w:val="18"/>
              </w:rPr>
              <w:t>s support, personal resource catalogue</w:t>
            </w:r>
            <w:r w:rsidRPr="009D2593">
              <w:rPr>
                <w:sz w:val="18"/>
              </w:rPr>
              <w:t>.</w:t>
            </w:r>
          </w:p>
        </w:tc>
        <w:tc>
          <w:tcPr>
            <w:tcW w:w="4788" w:type="dxa"/>
          </w:tcPr>
          <w:p w:rsidR="003C10A2" w:rsidRPr="009D2593" w:rsidRDefault="009D2593" w:rsidP="00251BD5">
            <w:pPr>
              <w:spacing w:before="40" w:after="40"/>
              <w:rPr>
                <w:sz w:val="18"/>
              </w:rPr>
            </w:pPr>
            <w:r w:rsidRPr="009D2593">
              <w:rPr>
                <w:sz w:val="18"/>
              </w:rPr>
              <w:t xml:space="preserve">Sex &amp; sexuality, controlling instinctual behaviors, responsibility with, sexual messages, defining sexual activity, human sexual response cycle, contraception, pregnancy/labour/birth, unplanned pregnancy options, factors affecting sexual behavior decisions, sexual decisions </w:t>
            </w:r>
            <w:r>
              <w:rPr>
                <w:sz w:val="18"/>
              </w:rPr>
              <w:t xml:space="preserve">   </w:t>
            </w:r>
            <w:r w:rsidRPr="009D2593">
              <w:rPr>
                <w:sz w:val="18"/>
              </w:rPr>
              <w:t xml:space="preserve">&amp; life goals. </w:t>
            </w:r>
          </w:p>
        </w:tc>
      </w:tr>
    </w:tbl>
    <w:p w:rsidR="00A41469" w:rsidRPr="009D2593" w:rsidRDefault="00CB0638" w:rsidP="00694683">
      <w:pPr>
        <w:spacing w:before="60" w:after="60"/>
        <w:rPr>
          <w:rFonts w:ascii="Times New Roman" w:hAnsi="Times New Roman"/>
          <w:b/>
          <w:bCs/>
          <w:sz w:val="18"/>
          <w:szCs w:val="28"/>
          <w:lang w:eastAsia="en-CA"/>
        </w:rPr>
      </w:pPr>
      <w:r w:rsidRPr="009D2593">
        <w:rPr>
          <w:rFonts w:ascii="Times New Roman" w:hAnsi="Times New Roman"/>
          <w:b/>
          <w:bCs/>
          <w:sz w:val="18"/>
          <w:szCs w:val="28"/>
          <w:lang w:eastAsia="en-CA"/>
        </w:rPr>
        <w:lastRenderedPageBreak/>
        <w:t xml:space="preserve"> </w:t>
      </w:r>
    </w:p>
    <w:p w:rsidR="009D2593" w:rsidRPr="009D2593" w:rsidRDefault="009D2593" w:rsidP="009D2593">
      <w:pPr>
        <w:spacing w:before="120" w:after="240" w:line="240" w:lineRule="auto"/>
        <w:jc w:val="both"/>
        <w:rPr>
          <w:rFonts w:asciiTheme="minorHAnsi" w:hAnsiTheme="minorHAnsi"/>
          <w:b/>
          <w:sz w:val="36"/>
          <w:szCs w:val="24"/>
          <w:lang w:val="en-US" w:eastAsia="en-CA"/>
        </w:rPr>
      </w:pPr>
      <w:r w:rsidRPr="009D2593">
        <w:rPr>
          <w:rFonts w:asciiTheme="minorHAnsi" w:hAnsiTheme="minorHAnsi"/>
          <w:b/>
          <w:sz w:val="36"/>
          <w:szCs w:val="24"/>
          <w:lang w:val="en-US" w:eastAsia="en-CA"/>
        </w:rPr>
        <w:t>A Few Course Related Thoughts…</w:t>
      </w:r>
    </w:p>
    <w:p w:rsidR="00ED17E4" w:rsidRPr="009D2593" w:rsidRDefault="00ED17E4" w:rsidP="009D2593">
      <w:pPr>
        <w:spacing w:before="120" w:after="240" w:line="240" w:lineRule="auto"/>
        <w:jc w:val="both"/>
        <w:rPr>
          <w:rFonts w:asciiTheme="minorHAnsi" w:hAnsiTheme="minorHAnsi"/>
          <w:sz w:val="24"/>
          <w:szCs w:val="24"/>
          <w:lang w:val="en-US" w:eastAsia="en-CA"/>
        </w:rPr>
      </w:pPr>
      <w:r w:rsidRPr="009D2593">
        <w:rPr>
          <w:rFonts w:asciiTheme="minorHAnsi" w:hAnsiTheme="minorHAnsi"/>
          <w:sz w:val="24"/>
          <w:szCs w:val="24"/>
          <w:lang w:val="en-US" w:eastAsia="en-CA"/>
        </w:rPr>
        <w:t>Well-being is a 'broadly defined term used to describe a highly developed level of health resulting from the balancing of all dimensions of health: physical, social, spiritual, emotional and intellectual.</w:t>
      </w:r>
    </w:p>
    <w:p w:rsidR="00ED17E4" w:rsidRPr="009D2593" w:rsidRDefault="00ED17E4" w:rsidP="009D2593">
      <w:pPr>
        <w:spacing w:before="120" w:after="240" w:line="240" w:lineRule="auto"/>
        <w:jc w:val="both"/>
        <w:rPr>
          <w:rFonts w:asciiTheme="minorHAnsi" w:hAnsiTheme="minorHAnsi"/>
          <w:sz w:val="24"/>
          <w:szCs w:val="24"/>
          <w:lang w:val="en-US" w:eastAsia="en-CA"/>
        </w:rPr>
      </w:pPr>
      <w:r w:rsidRPr="009D2593">
        <w:rPr>
          <w:rFonts w:asciiTheme="minorHAnsi" w:hAnsiTheme="minorHAnsi"/>
          <w:sz w:val="24"/>
          <w:szCs w:val="24"/>
          <w:lang w:val="en-US" w:eastAsia="en-CA"/>
        </w:rPr>
        <w:t>Life Transitions is a term signifying ‘major changes encountered throughout life'. A few examples include graduating from high school, entering the world of work, selecting a mate, becoming a parent and changing careers.</w:t>
      </w:r>
    </w:p>
    <w:p w:rsidR="00ED17E4" w:rsidRPr="009D2593" w:rsidRDefault="00ED17E4" w:rsidP="009D2593">
      <w:pPr>
        <w:spacing w:before="120" w:after="240" w:line="240" w:lineRule="auto"/>
        <w:jc w:val="both"/>
        <w:rPr>
          <w:rFonts w:asciiTheme="minorHAnsi" w:hAnsiTheme="minorHAnsi"/>
          <w:sz w:val="24"/>
          <w:szCs w:val="24"/>
          <w:lang w:val="en-US" w:eastAsia="en-CA"/>
        </w:rPr>
      </w:pPr>
      <w:r w:rsidRPr="009D2593">
        <w:rPr>
          <w:rFonts w:asciiTheme="minorHAnsi" w:hAnsiTheme="minorHAnsi"/>
          <w:sz w:val="24"/>
          <w:szCs w:val="24"/>
          <w:lang w:val="en-US" w:eastAsia="en-CA"/>
        </w:rPr>
        <w:t>Personal health, family, community and career represent aspects of one's life. Throughout this curriculum they are listed in that order to represent a focus on the narrowest aspect of self, progressing toward the broadest aspect of career.</w:t>
      </w:r>
    </w:p>
    <w:p w:rsidR="00ED17E4" w:rsidRPr="009D2593" w:rsidRDefault="00ED17E4" w:rsidP="009D2593">
      <w:pPr>
        <w:spacing w:before="120" w:after="240" w:line="240" w:lineRule="auto"/>
        <w:jc w:val="both"/>
        <w:rPr>
          <w:rFonts w:asciiTheme="minorHAnsi" w:hAnsiTheme="minorHAnsi"/>
          <w:sz w:val="24"/>
          <w:szCs w:val="24"/>
          <w:lang w:val="en-US" w:eastAsia="en-CA"/>
        </w:rPr>
      </w:pPr>
      <w:r w:rsidRPr="009D2593">
        <w:rPr>
          <w:rFonts w:asciiTheme="minorHAnsi" w:hAnsiTheme="minorHAnsi"/>
          <w:sz w:val="24"/>
          <w:szCs w:val="24"/>
          <w:lang w:val="en-US" w:eastAsia="en-CA"/>
        </w:rPr>
        <w:t>The term career, throughout the Life Transitions course, encompasses the sum total of one's life experiences including the roles in which an individual is involved (worker, learner, family member, community member), the settings where an individual finds him/herself (home, school, workplace, community) and the events that occur over an individual's lifetime (career change, marriage, retirement). In this sense, career means that the focus is on the total person -- the human career.</w:t>
      </w:r>
    </w:p>
    <w:p w:rsidR="003F65A1" w:rsidRPr="009D2593" w:rsidRDefault="00CB0638" w:rsidP="009D2593">
      <w:pPr>
        <w:spacing w:before="60" w:after="60"/>
        <w:rPr>
          <w:rFonts w:ascii="Times New Roman" w:hAnsi="Times New Roman"/>
          <w:b/>
          <w:bCs/>
          <w:sz w:val="20"/>
          <w:szCs w:val="28"/>
          <w:lang w:eastAsia="en-CA"/>
        </w:rPr>
      </w:pPr>
      <w:r w:rsidRPr="009D2593">
        <w:rPr>
          <w:rFonts w:ascii="Times New Roman" w:hAnsi="Times New Roman"/>
          <w:b/>
          <w:bCs/>
          <w:sz w:val="20"/>
          <w:szCs w:val="28"/>
          <w:lang w:eastAsia="en-CA"/>
        </w:rPr>
        <w:t xml:space="preserve">     </w:t>
      </w:r>
    </w:p>
    <w:p w:rsidR="003261B1" w:rsidRPr="003261B1" w:rsidRDefault="009D2593" w:rsidP="003261B1">
      <w:r>
        <w:rPr>
          <w:noProof/>
          <w:lang w:val="en-US"/>
        </w:rPr>
        <w:drawing>
          <wp:anchor distT="0" distB="0" distL="114300" distR="114300" simplePos="0" relativeHeight="251659264" behindDoc="0" locked="0" layoutInCell="1" allowOverlap="1" wp14:anchorId="0FCC6D53" wp14:editId="308AD43B">
            <wp:simplePos x="0" y="0"/>
            <wp:positionH relativeFrom="column">
              <wp:posOffset>80645</wp:posOffset>
            </wp:positionH>
            <wp:positionV relativeFrom="paragraph">
              <wp:posOffset>226695</wp:posOffset>
            </wp:positionV>
            <wp:extent cx="5859145" cy="43027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s Taxonomy Levels.jpg"/>
                    <pic:cNvPicPr/>
                  </pic:nvPicPr>
                  <pic:blipFill>
                    <a:blip r:embed="rId8">
                      <a:extLst>
                        <a:ext uri="{28A0092B-C50C-407E-A947-70E740481C1C}">
                          <a14:useLocalDpi xmlns:a14="http://schemas.microsoft.com/office/drawing/2010/main" val="0"/>
                        </a:ext>
                      </a:extLst>
                    </a:blip>
                    <a:stretch>
                      <a:fillRect/>
                    </a:stretch>
                  </pic:blipFill>
                  <pic:spPr>
                    <a:xfrm>
                      <a:off x="0" y="0"/>
                      <a:ext cx="5859145" cy="4302760"/>
                    </a:xfrm>
                    <a:prstGeom prst="rect">
                      <a:avLst/>
                    </a:prstGeom>
                  </pic:spPr>
                </pic:pic>
              </a:graphicData>
            </a:graphic>
            <wp14:sizeRelH relativeFrom="page">
              <wp14:pctWidth>0</wp14:pctWidth>
            </wp14:sizeRelH>
            <wp14:sizeRelV relativeFrom="page">
              <wp14:pctHeight>0</wp14:pctHeight>
            </wp14:sizeRelV>
          </wp:anchor>
        </w:drawing>
      </w:r>
    </w:p>
    <w:sectPr w:rsidR="003261B1" w:rsidRPr="003261B1" w:rsidSect="007250B0">
      <w:type w:val="continuous"/>
      <w:pgSz w:w="12240" w:h="15840"/>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B34B4"/>
    <w:multiLevelType w:val="hybridMultilevel"/>
    <w:tmpl w:val="3C06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AB5382"/>
    <w:multiLevelType w:val="hybridMultilevel"/>
    <w:tmpl w:val="3A60CDE6"/>
    <w:lvl w:ilvl="0" w:tplc="B212C87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48"/>
    <w:rsid w:val="000162B1"/>
    <w:rsid w:val="00061F11"/>
    <w:rsid w:val="0006622F"/>
    <w:rsid w:val="00080420"/>
    <w:rsid w:val="000A0BBC"/>
    <w:rsid w:val="000A6C67"/>
    <w:rsid w:val="000B715B"/>
    <w:rsid w:val="000C2C77"/>
    <w:rsid w:val="00111215"/>
    <w:rsid w:val="0011549F"/>
    <w:rsid w:val="00126641"/>
    <w:rsid w:val="00157CEF"/>
    <w:rsid w:val="00177E15"/>
    <w:rsid w:val="001C0034"/>
    <w:rsid w:val="001C289A"/>
    <w:rsid w:val="001D0D18"/>
    <w:rsid w:val="001D3669"/>
    <w:rsid w:val="002176E8"/>
    <w:rsid w:val="0023481C"/>
    <w:rsid w:val="00236124"/>
    <w:rsid w:val="00271B7C"/>
    <w:rsid w:val="0027648D"/>
    <w:rsid w:val="002E6153"/>
    <w:rsid w:val="002F6581"/>
    <w:rsid w:val="003261B1"/>
    <w:rsid w:val="00353326"/>
    <w:rsid w:val="003A5D50"/>
    <w:rsid w:val="003B0DF0"/>
    <w:rsid w:val="003C10A2"/>
    <w:rsid w:val="003F65A1"/>
    <w:rsid w:val="00415189"/>
    <w:rsid w:val="00420DBC"/>
    <w:rsid w:val="00446605"/>
    <w:rsid w:val="004A6848"/>
    <w:rsid w:val="004C48C5"/>
    <w:rsid w:val="004E6B53"/>
    <w:rsid w:val="00504598"/>
    <w:rsid w:val="0051493B"/>
    <w:rsid w:val="00523323"/>
    <w:rsid w:val="005B2688"/>
    <w:rsid w:val="006538E1"/>
    <w:rsid w:val="00694683"/>
    <w:rsid w:val="00697AA1"/>
    <w:rsid w:val="006B0926"/>
    <w:rsid w:val="006F378F"/>
    <w:rsid w:val="007069B8"/>
    <w:rsid w:val="0070744E"/>
    <w:rsid w:val="00717CC5"/>
    <w:rsid w:val="00720F7F"/>
    <w:rsid w:val="00722058"/>
    <w:rsid w:val="007250B0"/>
    <w:rsid w:val="00771068"/>
    <w:rsid w:val="007B679D"/>
    <w:rsid w:val="007C716D"/>
    <w:rsid w:val="008541FA"/>
    <w:rsid w:val="00875F47"/>
    <w:rsid w:val="00891B42"/>
    <w:rsid w:val="008A29C1"/>
    <w:rsid w:val="008C1A3D"/>
    <w:rsid w:val="008E70A3"/>
    <w:rsid w:val="009176FA"/>
    <w:rsid w:val="009319AD"/>
    <w:rsid w:val="00963DE7"/>
    <w:rsid w:val="00981D82"/>
    <w:rsid w:val="00993B0F"/>
    <w:rsid w:val="009D2593"/>
    <w:rsid w:val="009F226E"/>
    <w:rsid w:val="00A41469"/>
    <w:rsid w:val="00A45963"/>
    <w:rsid w:val="00A703B9"/>
    <w:rsid w:val="00A70FAD"/>
    <w:rsid w:val="00A7641C"/>
    <w:rsid w:val="00A82A5A"/>
    <w:rsid w:val="00AD0538"/>
    <w:rsid w:val="00AD3241"/>
    <w:rsid w:val="00AD395F"/>
    <w:rsid w:val="00B01CE8"/>
    <w:rsid w:val="00B310E7"/>
    <w:rsid w:val="00B6446E"/>
    <w:rsid w:val="00B70AB9"/>
    <w:rsid w:val="00B8750F"/>
    <w:rsid w:val="00B92607"/>
    <w:rsid w:val="00BB2C2D"/>
    <w:rsid w:val="00C274C5"/>
    <w:rsid w:val="00C4447D"/>
    <w:rsid w:val="00C45CC2"/>
    <w:rsid w:val="00C958F4"/>
    <w:rsid w:val="00CB0638"/>
    <w:rsid w:val="00CC2670"/>
    <w:rsid w:val="00CC7BE6"/>
    <w:rsid w:val="00CE1C7B"/>
    <w:rsid w:val="00CE3442"/>
    <w:rsid w:val="00D05317"/>
    <w:rsid w:val="00D11097"/>
    <w:rsid w:val="00D20E87"/>
    <w:rsid w:val="00D2222D"/>
    <w:rsid w:val="00D8320F"/>
    <w:rsid w:val="00D87C16"/>
    <w:rsid w:val="00DA4E7B"/>
    <w:rsid w:val="00DA63F3"/>
    <w:rsid w:val="00DE3DE3"/>
    <w:rsid w:val="00E81292"/>
    <w:rsid w:val="00EC1901"/>
    <w:rsid w:val="00ED17E4"/>
    <w:rsid w:val="00F07917"/>
    <w:rsid w:val="00F27222"/>
    <w:rsid w:val="00F30C96"/>
    <w:rsid w:val="00F83B23"/>
    <w:rsid w:val="00F86221"/>
    <w:rsid w:val="00F8735A"/>
    <w:rsid w:val="00F95504"/>
    <w:rsid w:val="00FD51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550B0"/>
  <w15:docId w15:val="{97D75FF6-1087-48E5-AC57-9B3744F9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5A1"/>
    <w:pPr>
      <w:spacing w:after="200" w:line="276" w:lineRule="auto"/>
    </w:pPr>
    <w:rPr>
      <w:sz w:val="22"/>
      <w:szCs w:val="22"/>
      <w:lang w:val="en-CA"/>
    </w:rPr>
  </w:style>
  <w:style w:type="paragraph" w:styleId="Heading1">
    <w:name w:val="heading 1"/>
    <w:basedOn w:val="Normal"/>
    <w:link w:val="Heading1Char"/>
    <w:uiPriority w:val="99"/>
    <w:qFormat/>
    <w:rsid w:val="004A6848"/>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link w:val="Heading2Char"/>
    <w:uiPriority w:val="99"/>
    <w:qFormat/>
    <w:rsid w:val="004A6848"/>
    <w:pPr>
      <w:spacing w:before="100" w:beforeAutospacing="1" w:after="100" w:afterAutospacing="1" w:line="240" w:lineRule="auto"/>
      <w:outlineLvl w:val="1"/>
    </w:pPr>
    <w:rPr>
      <w:rFonts w:ascii="Times New Roman" w:eastAsia="Times New Roman" w:hAnsi="Times New Roman"/>
      <w:b/>
      <w:bCs/>
      <w:sz w:val="36"/>
      <w:szCs w:val="36"/>
      <w:lang w:eastAsia="en-CA"/>
    </w:rPr>
  </w:style>
  <w:style w:type="paragraph" w:styleId="Heading4">
    <w:name w:val="heading 4"/>
    <w:basedOn w:val="Normal"/>
    <w:link w:val="Heading4Char"/>
    <w:uiPriority w:val="99"/>
    <w:qFormat/>
    <w:rsid w:val="004A6848"/>
    <w:pPr>
      <w:spacing w:before="100" w:beforeAutospacing="1" w:after="100" w:afterAutospacing="1" w:line="240" w:lineRule="auto"/>
      <w:outlineLvl w:val="3"/>
    </w:pPr>
    <w:rPr>
      <w:rFonts w:ascii="Times New Roman" w:eastAsia="Times New Roman" w:hAnsi="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6848"/>
    <w:rPr>
      <w:rFonts w:ascii="Times New Roman" w:hAnsi="Times New Roman" w:cs="Times New Roman"/>
      <w:b/>
      <w:bCs/>
      <w:kern w:val="36"/>
      <w:sz w:val="48"/>
      <w:szCs w:val="48"/>
      <w:lang w:eastAsia="en-CA"/>
    </w:rPr>
  </w:style>
  <w:style w:type="character" w:customStyle="1" w:styleId="Heading2Char">
    <w:name w:val="Heading 2 Char"/>
    <w:link w:val="Heading2"/>
    <w:uiPriority w:val="99"/>
    <w:locked/>
    <w:rsid w:val="004A6848"/>
    <w:rPr>
      <w:rFonts w:ascii="Times New Roman" w:hAnsi="Times New Roman" w:cs="Times New Roman"/>
      <w:b/>
      <w:bCs/>
      <w:sz w:val="36"/>
      <w:szCs w:val="36"/>
      <w:lang w:eastAsia="en-CA"/>
    </w:rPr>
  </w:style>
  <w:style w:type="character" w:customStyle="1" w:styleId="Heading4Char">
    <w:name w:val="Heading 4 Char"/>
    <w:link w:val="Heading4"/>
    <w:uiPriority w:val="99"/>
    <w:locked/>
    <w:rsid w:val="004A6848"/>
    <w:rPr>
      <w:rFonts w:ascii="Times New Roman" w:hAnsi="Times New Roman" w:cs="Times New Roman"/>
      <w:b/>
      <w:bCs/>
      <w:sz w:val="24"/>
      <w:szCs w:val="24"/>
      <w:lang w:eastAsia="en-CA"/>
    </w:rPr>
  </w:style>
  <w:style w:type="character" w:styleId="Hyperlink">
    <w:name w:val="Hyperlink"/>
    <w:uiPriority w:val="99"/>
    <w:semiHidden/>
    <w:rsid w:val="004A6848"/>
    <w:rPr>
      <w:rFonts w:cs="Times New Roman"/>
      <w:color w:val="0000FF"/>
      <w:u w:val="single"/>
    </w:rPr>
  </w:style>
  <w:style w:type="paragraph" w:styleId="BalloonText">
    <w:name w:val="Balloon Text"/>
    <w:basedOn w:val="Normal"/>
    <w:link w:val="BalloonTextChar"/>
    <w:uiPriority w:val="99"/>
    <w:semiHidden/>
    <w:unhideWhenUsed/>
    <w:rsid w:val="00A70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FAD"/>
    <w:rPr>
      <w:rFonts w:ascii="Tahoma" w:hAnsi="Tahoma" w:cs="Tahoma"/>
      <w:sz w:val="16"/>
      <w:szCs w:val="16"/>
      <w:lang w:val="en-CA"/>
    </w:rPr>
  </w:style>
  <w:style w:type="table" w:styleId="TableGrid">
    <w:name w:val="Table Grid"/>
    <w:basedOn w:val="TableNormal"/>
    <w:locked/>
    <w:rsid w:val="00A41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9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www.liveitup4lif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foley@chinooksd.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0887-5820-480D-BE36-C27FBB67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Chinook School Division</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Chinook SD</cp:lastModifiedBy>
  <cp:revision>5</cp:revision>
  <cp:lastPrinted>2019-09-17T02:52:00Z</cp:lastPrinted>
  <dcterms:created xsi:type="dcterms:W3CDTF">2019-09-17T02:53:00Z</dcterms:created>
  <dcterms:modified xsi:type="dcterms:W3CDTF">2020-09-15T01:03:00Z</dcterms:modified>
</cp:coreProperties>
</file>